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Värmdö kommunfullmäktige</w:t>
      </w:r>
    </w:p>
    <w:p>
      <w:pPr>
        <w:pStyle w:val="Heading1"/>
      </w:pPr>
      <w:r>
        <w:t xml:space="preserve">Likvärdig skola med extra stöd i utsatta områden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Värmdö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Skolresultaten i Värmdö varierar kraftigt mellan skolor. Enligt Skolverket 2024 har elever i Gustavsberg lägre meritvärden än genomsnittet. Extra resurser till utsatta områden är nödvändigt för att uppnå likvärdig skola.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Värmdö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en resursfördelningsmodell baserad på socioekonomiska faktorer införs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antalet speciallärare och elevassistenter ökas i skolor med lägre resultat.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samverkan med föräldrar och fritidsverksamhet stärks i utsatta områden.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årlig uppföljning av skolresultat per skola redovisas för fullmäktige.</w:t>
      </w:r>
    </w:p>
    <w:p>
      <w:pPr>
        <w:spacing w:before="360"/>
      </w:pPr>
    </w:p>
    <w:p>
      <w:r>
        <w:t xml:space="preserve">Värmdö,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Värmdö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2026-07-14T01:53:48.771Z</dcterms:created>
  <dcterms:modified xsi:type="dcterms:W3CDTF">2026-07-14T01:53:48.771Z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